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09.png" ContentType="image/png"/>
  <Override PartName="/word/media/rId108.png" ContentType="image/png"/>
  <Override PartName="/word/media/rId105.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01</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(Table</w:t>
      </w:r>
      <w:r>
        <w:t xml:space="preserve"> </w:t>
      </w:r>
      <w:r>
        <w:t xml:space="preserve">1</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 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2</w:t>
      </w:r>
      <w:r>
        <w:t xml:space="preserve"> </w:t>
      </w:r>
      <w:r>
        <w:t xml:space="preserve">and Table</w:t>
      </w:r>
      <w:r>
        <w:t xml:space="preserve"> </w:t>
      </w:r>
      <w:r>
        <w:t xml:space="preserve">3</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4</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If we assume that marked and released fish are unavailable for recapture for 48 hours following release to address concerns about delayed mixing into preferred angling locales and/or released fish being</w:t>
      </w:r>
      <w:r>
        <w:t xml:space="preserve"> </w:t>
      </w:r>
      <w:r>
        <w:t xml:space="preserve">“</w:t>
      </w:r>
      <w:r>
        <w:t xml:space="preserve">hook shy,</w:t>
      </w:r>
      <w:r>
        <w:t xml:space="preserve">”</w:t>
      </w:r>
      <w:r>
        <w:t xml:space="preserve"> </w:t>
      </w:r>
      <w:r>
        <w:t xml:space="preserve">the mean fall abundance estimate was 19,499 (95% CI: 9,952 - 41,597).</w:t>
      </w:r>
    </w:p>
    <w:p>
      <w:pPr>
        <w:pStyle w:val="BodyText"/>
      </w:pPr>
      <w:r>
        <w:t xml:space="preserve">For spring 2021, we estimated abundance by multiplying the mean fall abundance (standard Schnabel estimates) by the ratio between the spring CPUE and mean fall CPUEs (0.53), resulting in an estimate of 14,799 (95% CI: 7,562 - 31,530) Northern Pikeminnow in Deadwater Slough. Those estimates translate to linear densities of 10,422 and 7,909 Northern Pikeminnow per rkm.</w:t>
      </w:r>
    </w:p>
    <w:p>
      <w:pPr>
        <w:pStyle w:val="BodyText"/>
      </w:pPr>
      <w:r>
        <w:t xml:space="preserve">The lengths of Northern Pikeminnow captured ranged from 176 to 639 mm TL with an average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5</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estimated an average-size Northern Pikeminnow (</w:t>
      </w:r>
      <w:r>
        <w:rPr>
          <w:iCs/>
          <w:i/>
          <w:bCs/>
          <w:b/>
        </w:rPr>
        <w:t xml:space="preserve">value</w:t>
      </w:r>
      <w:r>
        <w:t xml:space="preserve"> </w:t>
      </w:r>
      <w:r>
        <w:t xml:space="preserve">mm) to consume</w:t>
      </w:r>
      <w:r>
        <w:t xml:space="preserve"> </w:t>
      </w:r>
      <w:r>
        <w:rPr>
          <w:iCs/>
          <w:i/>
          <w:bCs/>
          <w:b/>
        </w:rPr>
        <w:t xml:space="preserve">value</w:t>
      </w:r>
      <w:r>
        <w:t xml:space="preserve"> </w:t>
      </w:r>
      <w:r>
        <w:t xml:space="preserve">g of fish to maintain their body size, assuming 60% of their diet consists of fish prey (Figure</w:t>
      </w:r>
      <w:r>
        <w:t xml:space="preserve"> </w:t>
      </w:r>
      <w:r>
        <w:t xml:space="preserve">4</w:t>
      </w:r>
      <w:r>
        <w:t xml:space="preserve">). Fall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During the spring NRR emigration, we estimated an average-size Northern Pikeminnow (</w:t>
      </w:r>
      <w:r>
        <w:rPr>
          <w:iCs/>
          <w:i/>
          <w:bCs/>
          <w:b/>
        </w:rPr>
        <w:t xml:space="preserve">value</w:t>
      </w:r>
      <w:r>
        <w:t xml:space="preserve">) to consume</w:t>
      </w:r>
      <w:r>
        <w:t xml:space="preserve"> </w:t>
      </w:r>
      <w:r>
        <w:rPr>
          <w:iCs/>
          <w:i/>
          <w:bCs/>
          <w:b/>
        </w:rPr>
        <w:t xml:space="preserve">value</w:t>
      </w:r>
      <w:r>
        <w:t xml:space="preserve"> </w:t>
      </w:r>
      <w:r>
        <w:t xml:space="preserve">44.29 g of fish, assuming 60% of their diet is fish prey (Figure</w:t>
      </w:r>
      <w:r>
        <w:t xml:space="preserve"> </w:t>
      </w:r>
      <w:r>
        <w:t xml:space="preserve">4</w:t>
      </w:r>
      <w:r>
        <w:t xml:space="preserve">). Spring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Given estimated mean Northern Pikeminnow population sizes of</w:t>
      </w:r>
      <w:r>
        <w:t xml:space="preserve"> </w:t>
      </w:r>
      <w:r>
        <w:rPr>
          <w:iCs/>
          <w:i/>
          <w:bCs/>
          <w:b/>
        </w:rPr>
        <w:t xml:space="preserve">value</w:t>
      </w:r>
      <w:r>
        <w:t xml:space="preserve"> </w:t>
      </w:r>
      <w:r>
        <w:t xml:space="preserve">from fall estimates and</w:t>
      </w:r>
      <w:r>
        <w:t xml:space="preserve"> </w:t>
      </w:r>
      <w:r>
        <w:rPr>
          <w:iCs/>
          <w:i/>
          <w:bCs/>
          <w:b/>
        </w:rPr>
        <w:t xml:space="preserve">value</w:t>
      </w:r>
      <w:r>
        <w:t xml:space="preserve"> </w:t>
      </w:r>
      <w:r>
        <w:t xml:space="preserve">for spring 2021, and assuming 60% of their diet is fish, we estimate that Northern Pikeminnow can consume</w:t>
      </w:r>
      <w:r>
        <w:t xml:space="preserve"> </w:t>
      </w:r>
      <w:r>
        <w:rPr>
          <w:iCs/>
          <w:i/>
          <w:bCs/>
          <w:b/>
        </w:rPr>
        <w:t xml:space="preserve">value</w:t>
      </w:r>
      <w:r>
        <w:t xml:space="preserve"> </w:t>
      </w:r>
      <w:r>
        <w:t xml:space="preserve">metric tons of fish during the fall DSR emigration and an additional</w:t>
      </w:r>
      <w:r>
        <w:t xml:space="preserve"> </w:t>
      </w:r>
      <w:r>
        <w:rPr>
          <w:iCs/>
          <w:i/>
          <w:bCs/>
          <w:b/>
        </w:rPr>
        <w:t xml:space="preserve">value</w:t>
      </w:r>
      <w:r>
        <w:t xml:space="preserve"> </w:t>
      </w:r>
      <w:r>
        <w:t xml:space="preserve">metric tons during the spring NRR emigration in Deadwater Slough. In total, the Northern Pikeminnow population can consume</w:t>
      </w:r>
      <w:r>
        <w:t xml:space="preserve"> </w:t>
      </w:r>
      <w:r>
        <w:rPr>
          <w:iCs/>
          <w:i/>
          <w:bCs/>
          <w:b/>
        </w:rPr>
        <w:t xml:space="preserve">value</w:t>
      </w:r>
      <w:r>
        <w:t xml:space="preserve"> </w:t>
      </w:r>
      <w:r>
        <w:t xml:space="preserve">metric tons of fish during the DSR and NRR emigrations to maintain their population size, assuming 60% of their diet consists of fish.</w:t>
      </w:r>
    </w:p>
    <w:bookmarkEnd w:id="31"/>
    <w:bookmarkStart w:id="32" w:name="impacts-to-chinook-salmon-populations-1"/>
    <w:p>
      <w:pPr>
        <w:pStyle w:val="Heading2"/>
      </w:pPr>
      <w:r>
        <w:t xml:space="preserve">Impacts to Chinook Salmon Populations</w:t>
      </w:r>
    </w:p>
    <w:p>
      <w:pPr>
        <w:pStyle w:val="FirstParagraph"/>
      </w:pPr>
      <w:r>
        <w:t xml:space="preserve">Using the total g of fish consumed by the Northern Pikeminnow population (summing fall and spring surveys) we produced a sensitivity analysis for three Northern Pikeminnow diet scenarios where juvenile Chinook Salmn make up 30%, 50%, and 65% of total fish prey consumed (Figure</w:t>
      </w:r>
      <w:r>
        <w:t xml:space="preserve"> </w:t>
      </w:r>
      <w:r>
        <w:rPr>
          <w:iCs/>
          <w:i/>
          <w:bCs/>
          <w:b/>
        </w:rPr>
        <w:t xml:space="preserve">reference</w:t>
      </w:r>
      <w:r>
        <w:t xml:space="preserve">). Assuming that 50% of the total fish consumed are juvenile Chinook Salmon, we estimate between (30% fish scenario with CIs) and (90% fish scenario with CIs) juvenile Chinook Salmon will be consumed. We then used our estimates of total juvenile Chinook Salmon consumed to estimate</w:t>
      </w:r>
      <w:r>
        <w:t xml:space="preserve"> </w:t>
      </w:r>
      <w:r>
        <w:t xml:space="preserve">“</w:t>
      </w:r>
      <w:r>
        <w:t xml:space="preserve">adult equivalents</w:t>
      </w:r>
      <w:r>
        <w:t xml:space="preserve">”</w:t>
      </w:r>
      <w:r>
        <w:t xml:space="preserve"> </w:t>
      </w:r>
      <w:r>
        <w:t xml:space="preserve">using the Granite-to-Granite smolt-to-adult survival rate of</w:t>
      </w:r>
      <w:r>
        <w:t xml:space="preserve"> </w:t>
      </w:r>
      <w:r>
        <w:rPr>
          <w:iCs/>
          <w:i/>
          <w:bCs/>
          <w:b/>
        </w:rPr>
        <w:t xml:space="preserve">value</w:t>
      </w:r>
      <w:r>
        <w:t xml:space="preserve"> </w:t>
      </w:r>
      <w:r>
        <w:t xml:space="preserve">(SE:</w:t>
      </w:r>
      <w:r>
        <w:t xml:space="preserve"> </w:t>
      </w:r>
      <w:r>
        <w:rPr>
          <w:iCs/>
          <w:i/>
          <w:bCs/>
          <w:b/>
        </w:rPr>
        <w:t xml:space="preserve">value</w:t>
      </w:r>
      <w:r>
        <w:t xml:space="preserve">; Table</w:t>
      </w:r>
      <w:r>
        <w:t xml:space="preserve"> </w:t>
      </w:r>
      <w:r>
        <w:rPr>
          <w:iCs/>
          <w:i/>
          <w:bCs/>
          <w:b/>
        </w:rPr>
        <w:t xml:space="preserve">reference</w:t>
      </w:r>
      <w:r>
        <w:t xml:space="preserve">). Assuming predation in Deadwater Slough was reduced or eliminated, the juvenile consumption would be equivalent to</w:t>
      </w:r>
      <w:r>
        <w:t xml:space="preserve"> </w:t>
      </w:r>
      <w:r>
        <w:rPr>
          <w:iCs/>
          <w:i/>
          <w:bCs/>
          <w:b/>
        </w:rPr>
        <w:t xml:space="preserve">value</w:t>
      </w:r>
      <w:r>
        <w:t xml:space="preserve"> </w:t>
      </w:r>
      <w:r>
        <w:t xml:space="preserve">adults in the spring (range</w:t>
      </w:r>
      <w:r>
        <w:t xml:space="preserve"> </w:t>
      </w:r>
      <w:r>
        <w:rPr>
          <w:iCs/>
          <w:i/>
          <w:bCs/>
          <w:b/>
        </w:rPr>
        <w:t xml:space="preserve">value</w:t>
      </w:r>
      <w:r>
        <w:t xml:space="preserve"> </w:t>
      </w:r>
      <w:r>
        <w:t xml:space="preserve">-</w:t>
      </w:r>
      <w:r>
        <w:t xml:space="preserve"> </w:t>
      </w:r>
      <w:r>
        <w:rPr>
          <w:iCs/>
          <w:i/>
          <w:bCs/>
          <w:b/>
        </w:rPr>
        <w:t xml:space="preserve">value</w:t>
      </w:r>
      <w:r>
        <w:t xml:space="preserve">) and</w:t>
      </w:r>
      <w:r>
        <w:t xml:space="preserve"> </w:t>
      </w:r>
      <w:r>
        <w:rPr>
          <w:iCs/>
          <w:i/>
          <w:bCs/>
          <w:b/>
        </w:rPr>
        <w:t xml:space="preserve">value</w:t>
      </w:r>
      <w:r>
        <w:t xml:space="preserve"> </w:t>
      </w:r>
      <w:r>
        <w:t xml:space="preserve">adults (range</w:t>
      </w:r>
      <w:r>
        <w:t xml:space="preserve"> </w:t>
      </w:r>
      <w:r>
        <w:rPr>
          <w:iCs/>
          <w:i/>
          <w:bCs/>
          <w:b/>
        </w:rPr>
        <w:t xml:space="preserve">value</w:t>
      </w:r>
      <w:r>
        <w:t xml:space="preserve"> </w:t>
      </w:r>
      <w:r>
        <w:t xml:space="preserve">-</w:t>
      </w:r>
      <w:r>
        <w:t xml:space="preserve"> </w:t>
      </w:r>
      <w:r>
        <w:rPr>
          <w:iCs/>
          <w:i/>
          <w:bCs/>
          <w:b/>
        </w:rPr>
        <w:t xml:space="preserve">value</w:t>
      </w:r>
      <w:r>
        <w:t xml:space="preserve">) in the fall, totaling</w:t>
      </w:r>
      <w:r>
        <w:t xml:space="preserve"> </w:t>
      </w:r>
      <w:r>
        <w:rPr>
          <w:iCs/>
          <w:i/>
          <w:bCs/>
          <w:b/>
        </w:rPr>
        <w:t xml:space="preserve">value</w:t>
      </w:r>
      <w:r>
        <w:t xml:space="preserve"> </w:t>
      </w:r>
      <w:r>
        <w:t xml:space="preserve">adult Chinook Salmon.</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Bioenergetics model runs to estimate the grams of fish consumed during the DSR fall and NRR spring Chinook Salmon emigrations. The date ranges for each model run, the assumed proportion of fish in the diet, and the total grams of fish consumed by an individual Northern Pikeminnow to maintain its body weight for a given season are shown. The Northern Pikeminnow start/end weights were 598.7 and 430.7 g for the fall and spring seasons, respectively.</w:t>
      </w:r>
    </w:p>
    <w:tbl>
      <w:tblPr>
        <w:tblStyle w:val="Table"/>
        <w:tblW w:type="auto" w:w="0"/>
        <w:tblLook w:firstRow="1" w:lastRow="0" w:firstColumn="0" w:lastColumn="0" w:noHBand="0" w:noVBand="0" w:val="0020"/>
        <w:tblCaption w:val="Table 1: Bioenergetics model runs to estimate the grams of fish consumed during the DSR fall and NRR spring Chinook Salmon emigrations. The date ranges for each model run, the assumed proportion of fish in the diet, and the total grams of fish consumed by an individual Northern Pikeminnow to maintain its body weight for a given season are shown. The Northern Pikeminnow start/end weights were 598.7 and 430.7 g for the fall and spring seasons, respectively."/>
      </w:tblPr>
      <w:tblGrid>
        <w:gridCol w:w="1980"/>
        <w:gridCol w:w="1980"/>
        <w:gridCol w:w="1980"/>
        <w:gridCol w:w="1980"/>
      </w:tblGrid>
      <w:tr>
        <w:trPr>
          <w:tblHeader w:val="true"/>
        </w:trPr>
        <w:tc>
          <w:tcPr/>
          <w:p>
            <w:pPr>
              <w:pStyle w:val="Compact"/>
              <w:jc w:val="left"/>
            </w:pPr>
            <w:r>
              <w:t xml:space="preserve">Season</w:t>
            </w:r>
          </w:p>
        </w:tc>
        <w:tc>
          <w:tcPr/>
          <w:p>
            <w:pPr>
              <w:pStyle w:val="Compact"/>
              <w:jc w:val="left"/>
            </w:pPr>
            <w:r>
              <w:t xml:space="preserve">Date Range</w:t>
            </w:r>
          </w:p>
        </w:tc>
        <w:tc>
          <w:tcPr/>
          <w:p>
            <w:pPr>
              <w:pStyle w:val="Compact"/>
              <w:jc w:val="left"/>
            </w:pPr>
            <w:r>
              <w:t xml:space="preserve">% Fish in Diet</w:t>
            </w:r>
          </w:p>
        </w:tc>
        <w:tc>
          <w:tcPr/>
          <w:p>
            <w:pPr>
              <w:pStyle w:val="Compact"/>
              <w:jc w:val="right"/>
            </w:pPr>
            <w:r>
              <w:t xml:space="preserve">g Consumed</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30</w:t>
            </w:r>
          </w:p>
        </w:tc>
        <w:tc>
          <w:tcPr/>
          <w:p>
            <w:pPr>
              <w:pStyle w:val="Compact"/>
              <w:jc w:val="right"/>
            </w:pPr>
            <w:r>
              <w:t xml:space="preserve">38.90</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40</w:t>
            </w:r>
          </w:p>
        </w:tc>
        <w:tc>
          <w:tcPr/>
          <w:p>
            <w:pPr>
              <w:pStyle w:val="Compact"/>
              <w:jc w:val="right"/>
            </w:pPr>
            <w:r>
              <w:t xml:space="preserve">42.62</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50</w:t>
            </w:r>
          </w:p>
        </w:tc>
        <w:tc>
          <w:tcPr/>
          <w:p>
            <w:pPr>
              <w:pStyle w:val="Compact"/>
              <w:jc w:val="right"/>
            </w:pPr>
            <w:r>
              <w:t xml:space="preserve">45.23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60</w:t>
            </w:r>
          </w:p>
        </w:tc>
        <w:tc>
          <w:tcPr/>
          <w:p>
            <w:pPr>
              <w:pStyle w:val="Compact"/>
              <w:jc w:val="right"/>
            </w:pPr>
            <w:r>
              <w:t xml:space="preserve">47.11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70</w:t>
            </w:r>
          </w:p>
        </w:tc>
        <w:tc>
          <w:tcPr/>
          <w:p>
            <w:pPr>
              <w:pStyle w:val="Compact"/>
              <w:jc w:val="right"/>
            </w:pPr>
            <w:r>
              <w:t xml:space="preserve">48.63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80</w:t>
            </w:r>
          </w:p>
        </w:tc>
        <w:tc>
          <w:tcPr/>
          <w:p>
            <w:pPr>
              <w:pStyle w:val="Compact"/>
              <w:jc w:val="right"/>
            </w:pPr>
            <w:r>
              <w:t xml:space="preserve">49.81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90</w:t>
            </w:r>
          </w:p>
        </w:tc>
        <w:tc>
          <w:tcPr/>
          <w:p>
            <w:pPr>
              <w:pStyle w:val="Compact"/>
              <w:jc w:val="right"/>
            </w:pPr>
            <w:r>
              <w:t xml:space="preserve">50.73</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30</w:t>
            </w:r>
          </w:p>
        </w:tc>
        <w:tc>
          <w:tcPr/>
          <w:p>
            <w:pPr>
              <w:pStyle w:val="Compact"/>
              <w:jc w:val="right"/>
            </w:pPr>
            <w:r>
              <w:t xml:space="preserve">38.05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40</w:t>
            </w:r>
          </w:p>
        </w:tc>
        <w:tc>
          <w:tcPr/>
          <w:p>
            <w:pPr>
              <w:pStyle w:val="Compact"/>
              <w:jc w:val="right"/>
            </w:pPr>
            <w:r>
              <w:t xml:space="preserve">41.70</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50</w:t>
            </w:r>
          </w:p>
        </w:tc>
        <w:tc>
          <w:tcPr/>
          <w:p>
            <w:pPr>
              <w:pStyle w:val="Compact"/>
              <w:jc w:val="right"/>
            </w:pPr>
            <w:r>
              <w:t xml:space="preserve">44.29</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60</w:t>
            </w:r>
          </w:p>
        </w:tc>
        <w:tc>
          <w:tcPr/>
          <w:p>
            <w:pPr>
              <w:pStyle w:val="Compact"/>
              <w:jc w:val="right"/>
            </w:pPr>
            <w:r>
              <w:t xml:space="preserve">46.22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70</w:t>
            </w:r>
          </w:p>
        </w:tc>
        <w:tc>
          <w:tcPr/>
          <w:p>
            <w:pPr>
              <w:pStyle w:val="Compact"/>
              <w:jc w:val="right"/>
            </w:pPr>
            <w:r>
              <w:t xml:space="preserve">47.65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80</w:t>
            </w:r>
          </w:p>
        </w:tc>
        <w:tc>
          <w:tcPr/>
          <w:p>
            <w:pPr>
              <w:pStyle w:val="Compact"/>
              <w:jc w:val="right"/>
            </w:pPr>
            <w:r>
              <w:t xml:space="preserve">48.82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90</w:t>
            </w:r>
          </w:p>
        </w:tc>
        <w:tc>
          <w:tcPr/>
          <w:p>
            <w:pPr>
              <w:pStyle w:val="Compact"/>
              <w:jc w:val="right"/>
            </w:pPr>
            <w:r>
              <w:t xml:space="preserve">49.74</w:t>
            </w:r>
          </w:p>
        </w:tc>
      </w:tr>
    </w:tbl>
    <w:p>
      <w:r>
        <w:br w:type="page"/>
      </w:r>
    </w:p>
    <w:p>
      <w:pPr>
        <w:pStyle w:val="TableCaption"/>
      </w:pPr>
      <w:r>
        <w:t xml:space="preserve">Table 2: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2: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3: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3: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4: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4: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6: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6: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57,072.4533</w:t>
            </w:r>
          </w:p>
        </w:tc>
        <w:tc>
          <w:tcPr/>
          <w:p>
            <w:pPr>
              <w:pStyle w:val="Compact"/>
              <w:jc w:val="right"/>
            </w:pPr>
            <w:r>
              <w:t xml:space="preserve">29,163.7902</w:t>
            </w:r>
          </w:p>
        </w:tc>
        <w:tc>
          <w:tcPr/>
          <w:p>
            <w:pPr>
              <w:pStyle w:val="Compact"/>
              <w:jc w:val="right"/>
            </w:pPr>
            <w:r>
              <w:t xml:space="preserve">121,596.8401</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95,120.7555</w:t>
            </w:r>
          </w:p>
        </w:tc>
        <w:tc>
          <w:tcPr/>
          <w:p>
            <w:pPr>
              <w:pStyle w:val="Compact"/>
              <w:jc w:val="right"/>
            </w:pPr>
            <w:r>
              <w:t xml:space="preserve">48,606.3170</w:t>
            </w:r>
          </w:p>
        </w:tc>
        <w:tc>
          <w:tcPr/>
          <w:p>
            <w:pPr>
              <w:pStyle w:val="Compact"/>
              <w:jc w:val="right"/>
            </w:pPr>
            <w:r>
              <w:t xml:space="preserve">202,661.4002</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123,656.9822</w:t>
            </w:r>
          </w:p>
        </w:tc>
        <w:tc>
          <w:tcPr/>
          <w:p>
            <w:pPr>
              <w:pStyle w:val="Compact"/>
              <w:jc w:val="right"/>
            </w:pPr>
            <w:r>
              <w:t xml:space="preserve">63,188.2122</w:t>
            </w:r>
          </w:p>
        </w:tc>
        <w:tc>
          <w:tcPr/>
          <w:p>
            <w:pPr>
              <w:pStyle w:val="Compact"/>
              <w:jc w:val="right"/>
            </w:pPr>
            <w:r>
              <w:t xml:space="preserve">263,459.8202</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350.5884</w:t>
            </w:r>
          </w:p>
        </w:tc>
        <w:tc>
          <w:tcPr/>
          <w:p>
            <w:pPr>
              <w:pStyle w:val="Compact"/>
              <w:jc w:val="right"/>
            </w:pPr>
            <w:r>
              <w:t xml:space="preserve">150.0659</w:t>
            </w:r>
          </w:p>
        </w:tc>
        <w:tc>
          <w:tcPr/>
          <w:p>
            <w:pPr>
              <w:pStyle w:val="Compact"/>
              <w:jc w:val="right"/>
            </w:pPr>
            <w:r>
              <w:t xml:space="preserve">868.2146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584.3140</w:t>
            </w:r>
          </w:p>
        </w:tc>
        <w:tc>
          <w:tcPr/>
          <w:p>
            <w:pPr>
              <w:pStyle w:val="Compact"/>
              <w:jc w:val="right"/>
            </w:pPr>
            <w:r>
              <w:t xml:space="preserve">250.1098</w:t>
            </w:r>
          </w:p>
        </w:tc>
        <w:tc>
          <w:tcPr/>
          <w:p>
            <w:pPr>
              <w:pStyle w:val="Compact"/>
              <w:jc w:val="right"/>
            </w:pPr>
            <w:r>
              <w:t xml:space="preserve">1,447.0243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759.6082</w:t>
            </w:r>
          </w:p>
        </w:tc>
        <w:tc>
          <w:tcPr/>
          <w:p>
            <w:pPr>
              <w:pStyle w:val="Compact"/>
              <w:jc w:val="right"/>
            </w:pPr>
            <w:r>
              <w:t xml:space="preserve">325.1427</w:t>
            </w:r>
          </w:p>
        </w:tc>
        <w:tc>
          <w:tcPr/>
          <w:p>
            <w:pPr>
              <w:pStyle w:val="Compact"/>
              <w:jc w:val="right"/>
            </w:pPr>
            <w:r>
              <w:t xml:space="preserve">1,881.1315</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3"/>
    <w:bookmarkStart w:id="111"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10" w:name="colophon"/>
    <w:p>
      <w:pPr>
        <w:pStyle w:val="Heading3"/>
      </w:pPr>
      <w:r>
        <w:t xml:space="preserve">Colophon</w:t>
      </w:r>
    </w:p>
    <w:p>
      <w:pPr>
        <w:pStyle w:val="FirstParagraph"/>
      </w:pPr>
      <w:r>
        <w:t xml:space="preserve">This report was generated on 2022-02-01 09:56:56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[74c0cdf] 2022-02-01: added bioenergetics table</w:t>
      </w:r>
    </w:p>
    <w:bookmarkEnd w:id="110"/>
    <w:bookmarkEnd w:id="11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2022-02-01T16:56:59Z</dcterms:created>
  <dcterms:modified xsi:type="dcterms:W3CDTF">2022-02-01T16:56:59Z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